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41D64">
      <w:pPr>
        <w:spacing w:line="560" w:lineRule="exact"/>
        <w:jc w:val="left"/>
        <w:rPr>
          <w:rFonts w:hint="eastAsia" w:ascii="黑体" w:hAnsi="黑体" w:eastAsia="黑体" w:cs="黑体"/>
          <w:spacing w:val="-12"/>
          <w:sz w:val="32"/>
          <w:szCs w:val="32"/>
          <w:lang w:val="en-US" w:eastAsia="zh-CN"/>
        </w:rPr>
      </w:pPr>
      <w:r>
        <w:rPr>
          <w:rFonts w:hint="eastAsia" w:ascii="黑体" w:hAnsi="黑体" w:eastAsia="黑体" w:cs="黑体"/>
          <w:spacing w:val="-12"/>
          <w:sz w:val="32"/>
          <w:szCs w:val="32"/>
          <w:lang w:eastAsia="zh-CN"/>
        </w:rPr>
        <w:t>附件</w:t>
      </w:r>
      <w:r>
        <w:rPr>
          <w:rFonts w:hint="eastAsia" w:ascii="黑体" w:hAnsi="黑体" w:eastAsia="黑体" w:cs="黑体"/>
          <w:spacing w:val="-12"/>
          <w:sz w:val="32"/>
          <w:szCs w:val="32"/>
          <w:lang w:val="en-US" w:eastAsia="zh-CN"/>
        </w:rPr>
        <w:t>4</w:t>
      </w:r>
    </w:p>
    <w:p w14:paraId="76170136">
      <w:pPr>
        <w:spacing w:line="560" w:lineRule="exact"/>
        <w:jc w:val="center"/>
        <w:rPr>
          <w:rFonts w:hint="eastAsia" w:ascii="方正小标宋_GBK" w:hAnsi="方正小标宋_GBK" w:eastAsia="方正小标宋_GBK" w:cs="方正小标宋_GBK"/>
          <w:spacing w:val="-12"/>
          <w:sz w:val="44"/>
          <w:szCs w:val="44"/>
        </w:rPr>
      </w:pPr>
    </w:p>
    <w:p w14:paraId="647F4521">
      <w:pPr>
        <w:spacing w:line="560" w:lineRule="exact"/>
        <w:jc w:val="center"/>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消费提示 风险解析——</w:t>
      </w:r>
    </w:p>
    <w:p w14:paraId="5FEF0E9F">
      <w:pPr>
        <w:spacing w:line="560" w:lineRule="exact"/>
        <w:jc w:val="center"/>
        <w:rPr>
          <w:rFonts w:hint="eastAsia" w:ascii="方正小标宋_GBK" w:hAnsi="方正小标宋_GBK" w:eastAsia="方正小标宋_GBK" w:cs="方正小标宋_GBK"/>
          <w:spacing w:val="-12"/>
          <w:sz w:val="44"/>
          <w:szCs w:val="44"/>
          <w:lang w:eastAsia="zh-CN"/>
        </w:rPr>
      </w:pPr>
      <w:r>
        <w:rPr>
          <w:rFonts w:hint="eastAsia" w:ascii="方正小标宋_GBK" w:hAnsi="方正小标宋_GBK" w:eastAsia="方正小标宋_GBK" w:cs="方正小标宋_GBK"/>
          <w:spacing w:val="-12"/>
          <w:sz w:val="44"/>
          <w:szCs w:val="44"/>
        </w:rPr>
        <w:t>关于部分不合格检验项目的</w:t>
      </w:r>
      <w:r>
        <w:rPr>
          <w:rFonts w:hint="eastAsia" w:ascii="方正小标宋_GBK" w:hAnsi="方正小标宋_GBK" w:eastAsia="方正小标宋_GBK" w:cs="方正小标宋_GBK"/>
          <w:spacing w:val="-12"/>
          <w:sz w:val="44"/>
          <w:szCs w:val="44"/>
          <w:lang w:val="en-US" w:eastAsia="zh-CN"/>
        </w:rPr>
        <w:t>小知识</w:t>
      </w:r>
    </w:p>
    <w:p w14:paraId="7DDF0B8D">
      <w:pPr>
        <w:spacing w:line="560" w:lineRule="exact"/>
        <w:ind w:firstLine="595" w:firstLineChars="200"/>
        <w:rPr>
          <w:rFonts w:ascii="Times New Roman" w:hAnsi="Times New Roman"/>
          <w:b/>
          <w:bCs/>
          <w:spacing w:val="-12"/>
          <w:szCs w:val="32"/>
        </w:rPr>
      </w:pPr>
      <w:bookmarkStart w:id="0" w:name="_GoBack"/>
      <w:bookmarkEnd w:id="0"/>
    </w:p>
    <w:p w14:paraId="4110ACE3">
      <w:pPr>
        <w:pStyle w:val="7"/>
        <w:widowControl/>
        <w:spacing w:before="0" w:beforeAutospacing="0" w:after="150" w:afterAutospacing="0"/>
        <w:ind w:left="0" w:right="0" w:firstLine="640" w:firstLineChars="200"/>
        <w:outlineLvl w:val="0"/>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一、恩诺沙星</w:t>
      </w:r>
    </w:p>
    <w:p w14:paraId="1A4BA133">
      <w:p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恩诺沙星属第三代喹诺酮类药物，是一类人工合成的广谱抗菌药，在预防和治疗畜禽的细菌性感染及支原体病方面有良好效果，用于治疗动物的皮肤感染、呼吸道感染等，是动物专属用药。长期食用恩诺沙星残留超标的食品，可能在人体中蓄积，进而对人体机能造成危害，还可能使人体产生耐药性菌株。《食品安全国家标准 食品中兽药最大残留限量》（GB 31650—2019）中规定，恩诺沙星在鱼的皮和肉中的最大残留限量值为100μg/kg。淡水鱼中恩诺沙星残留量超标的原因，可能是在养殖过程中为快速控制疫病，违规加大用药量或不遵守休药期规定，致使上市销售产品中的药物残留量超标。长期摄入喹诺酮类药物超标的动物性食品，可引起轻度胃肠道刺激或不适，头痛、头晕、睡眠不良等症状，大剂量或长期摄入还可能引起肝损害。</w:t>
      </w:r>
    </w:p>
    <w:p w14:paraId="751F72B3">
      <w:pPr>
        <w:pStyle w:val="7"/>
        <w:widowControl/>
        <w:spacing w:before="0" w:beforeAutospacing="0" w:after="150" w:afterAutospacing="0"/>
        <w:ind w:left="0" w:right="0" w:firstLine="640" w:firstLineChars="200"/>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二、脱氢乙酸及其钠盐(以脱氢乙酸计)</w:t>
      </w:r>
    </w:p>
    <w:p w14:paraId="3CFE7C8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脱氢乙酸及其钠盐作为一种广谱食品防腐剂，毒性较低，对霉菌、酵母和细菌有较好的抑制作用。脱氢乙酸毒性较低，按标准规定的范围和使用量使用是安全的，它能被人体完全吸收，并能抑制人体内多种氧化酶，但长期过量摄入脱氢乙酸及其钠盐会危害人体健康。《食品安全国家标准 食品添加剂使用标准》（GB 2760—2014）中规定，新鲜水果不得使用脱氢乙酸及其钠盐（以脱氢乙酸计）。水果对保鲜程度要求较高，不合格原因可能是果农或经销商为延长其保存期违规使用。</w:t>
      </w:r>
    </w:p>
    <w:p w14:paraId="1150031D">
      <w:pPr>
        <w:pStyle w:val="7"/>
        <w:widowControl/>
        <w:spacing w:before="0" w:beforeAutospacing="0" w:after="150" w:afterAutospacing="0"/>
        <w:ind w:left="0" w:right="0" w:firstLine="640" w:firstLineChars="200"/>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三、噻虫胺</w:t>
      </w:r>
    </w:p>
    <w:p w14:paraId="66ED3F7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640" w:firstLineChars="200"/>
        <w:jc w:val="left"/>
        <w:outlineLvl w:val="0"/>
        <w:rPr>
          <w:rFonts w:hint="eastAsia" w:ascii="Times New Roman" w:hAnsi="Times New Roman" w:eastAsia="仿宋_GB2312" w:cs="Calibri"/>
          <w:kern w:val="2"/>
          <w:sz w:val="32"/>
          <w:szCs w:val="32"/>
          <w:lang w:val="en-US" w:eastAsia="zh-CN" w:bidi="ar-SA"/>
        </w:rPr>
      </w:pPr>
      <w:r>
        <w:rPr>
          <w:rFonts w:hint="eastAsia" w:ascii="仿宋" w:hAnsi="仿宋" w:eastAsia="仿宋" w:cs="仿宋"/>
          <w:color w:val="auto"/>
          <w:kern w:val="0"/>
          <w:sz w:val="32"/>
          <w:szCs w:val="32"/>
          <w:lang w:val="en-US" w:eastAsia="zh-CN" w:bidi="ar"/>
        </w:rPr>
        <w:t>噻虫胺属新烟碱类杀虫剂，具有内吸性、触杀和胃毒作用，对姜蛆等有较好防效。食用少量的残留农药，人体自身会降解，不会突然引起急性中毒，但长期食用没有清洗干净带有残留农药的农产品，可能会导致身体免疫力下降，加重肝脏的负担，或者引起恶心等。噻虫胺残留量超标的原因，可能是为快速控制虫害，加大用药量或未遵守采摘间隔期规定，致使上市销售的产品中残留量超标</w:t>
      </w:r>
      <w:r>
        <w:rPr>
          <w:rFonts w:hint="eastAsia" w:ascii="Times New Roman" w:hAnsi="Times New Roman" w:eastAsia="仿宋_GB2312" w:cs="Calibri"/>
          <w:kern w:val="2"/>
          <w:sz w:val="32"/>
          <w:szCs w:val="32"/>
          <w:lang w:val="en-US" w:eastAsia="zh-CN" w:bidi="ar-SA"/>
        </w:rPr>
        <w:t>。</w:t>
      </w:r>
    </w:p>
    <w:p w14:paraId="5296DB9F">
      <w:pPr>
        <w:pStyle w:val="7"/>
        <w:widowControl/>
        <w:spacing w:before="0" w:beforeAutospacing="0" w:after="150" w:afterAutospacing="0"/>
        <w:ind w:left="0" w:right="0" w:firstLine="640" w:firstLineChars="200"/>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四、噻虫嗪</w:t>
      </w:r>
    </w:p>
    <w:p w14:paraId="1ECB066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640" w:firstLineChars="200"/>
        <w:jc w:val="left"/>
        <w:outlineLvl w:val="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噻虫嗪是烟碱类杀虫剂，具有胃毒、触杀和内吸作用，对蚜虫、蛴螬等有较好防效。少量的残留不会引起人体急性中毒，但长期食用噻虫嗪超标的食品，对人体健康可能有一定影响。番木瓜中噻虫嗪残留量超标的原因，可能是为快速控制虫害，加大用药量或未遵守采摘间隔期规定，致使上市销售的产品中残留量超标。</w:t>
      </w:r>
    </w:p>
    <w:p w14:paraId="0A80346A">
      <w:pPr>
        <w:pStyle w:val="7"/>
        <w:widowControl/>
        <w:spacing w:before="0" w:beforeAutospacing="0" w:after="150" w:afterAutospacing="0"/>
        <w:ind w:left="0" w:right="0" w:firstLine="640" w:firstLineChars="200"/>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五、吡虫啉</w:t>
      </w:r>
    </w:p>
    <w:p w14:paraId="5DC4D83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640" w:firstLineChars="200"/>
        <w:jc w:val="left"/>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吡虫啉属氯化烟酰类杀虫剂，具有广谱、高效、低毒等特点。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长期食用吡虫啉超标的食品，可能对人体产生危害。吡虫啉超标的原因，可能是为快速控制虫害加大用药量，或未遵守采摘间隔期规定，致使上市销售时产品中的药物残留量未降解至标准限量以下。</w:t>
      </w:r>
    </w:p>
    <w:p w14:paraId="72B39091">
      <w:pPr>
        <w:pStyle w:val="2"/>
        <w:numPr>
          <w:ilvl w:val="0"/>
          <w:numId w:val="0"/>
        </w:numPr>
        <w:ind w:leftChars="0"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六、毒死蜱</w:t>
      </w:r>
    </w:p>
    <w:p w14:paraId="3A79F2BF">
      <w:pPr>
        <w:pStyle w:val="2"/>
        <w:numPr>
          <w:ilvl w:val="0"/>
          <w:numId w:val="0"/>
        </w:numPr>
        <w:ind w:leftChars="0" w:firstLine="612" w:firstLineChars="200"/>
        <w:rPr>
          <w:rFonts w:hint="eastAsia" w:ascii="仿宋" w:hAnsi="仿宋" w:eastAsia="仿宋" w:cs="仿宋"/>
          <w:i w:val="0"/>
          <w:iCs w:val="0"/>
          <w:caps w:val="0"/>
          <w:color w:val="333333"/>
          <w:spacing w:val="3"/>
          <w:kern w:val="2"/>
          <w:sz w:val="30"/>
          <w:szCs w:val="30"/>
          <w:lang w:val="en-US" w:eastAsia="zh-CN" w:bidi="ar-SA"/>
        </w:rPr>
      </w:pPr>
      <w:r>
        <w:rPr>
          <w:rFonts w:hint="eastAsia" w:ascii="仿宋" w:hAnsi="仿宋" w:eastAsia="仿宋" w:cs="仿宋"/>
          <w:i w:val="0"/>
          <w:iCs w:val="0"/>
          <w:caps w:val="0"/>
          <w:color w:val="333333"/>
          <w:spacing w:val="3"/>
          <w:kern w:val="2"/>
          <w:sz w:val="30"/>
          <w:szCs w:val="30"/>
          <w:lang w:val="en-US" w:eastAsia="zh-CN" w:bidi="ar-SA"/>
        </w:rPr>
        <w:t>毒死蜱属于有机磷类农药，主要用于粮食、果树、蔬菜和其他经济作物的杀虫。《食品安全国家标准 食品中农药最大残留限量》（GB 2763—2019）规定普通白菜（小白菜）中毒死蜱的最大残留限量为0.1 mg/kg。造成毒死蜱残留量超标原因可能是种植者对施用农药的方式和停药期无明确认识，盲目追求防虫效果导致。少量的毒死蜱残留不会引起人体急性中毒，长期食用毒死蜱超标的食品，可能引起头昏、头痛、无力、呕吐等症状。</w:t>
      </w:r>
    </w:p>
    <w:p w14:paraId="72ADCB4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640" w:firstLineChars="200"/>
        <w:jc w:val="left"/>
        <w:outlineLvl w:val="0"/>
        <w:rPr>
          <w:rFonts w:hint="default" w:ascii="仿宋" w:hAnsi="仿宋" w:eastAsia="仿宋" w:cs="仿宋"/>
          <w:color w:val="auto"/>
          <w:sz w:val="32"/>
          <w:szCs w:val="32"/>
          <w:lang w:val="en-US" w:eastAsia="zh-CN"/>
        </w:rPr>
      </w:pPr>
    </w:p>
    <w:sectPr>
      <w:pgSz w:w="11906" w:h="16838"/>
      <w:pgMar w:top="1440" w:right="146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YTFhM2FiNDk4OTU3YWYxNWQ3NjY2YmVhOWRhMWYifQ=="/>
  </w:docVars>
  <w:rsids>
    <w:rsidRoot w:val="00172A27"/>
    <w:rsid w:val="00590E08"/>
    <w:rsid w:val="005A3B34"/>
    <w:rsid w:val="0091347A"/>
    <w:rsid w:val="00A70B55"/>
    <w:rsid w:val="00BB2EE5"/>
    <w:rsid w:val="00D8463F"/>
    <w:rsid w:val="00F1181D"/>
    <w:rsid w:val="00F572AC"/>
    <w:rsid w:val="00FA0A94"/>
    <w:rsid w:val="079E36F0"/>
    <w:rsid w:val="08C8508B"/>
    <w:rsid w:val="17BD38DC"/>
    <w:rsid w:val="22837D9D"/>
    <w:rsid w:val="22ED18C2"/>
    <w:rsid w:val="266B48FD"/>
    <w:rsid w:val="31D92388"/>
    <w:rsid w:val="33521EC0"/>
    <w:rsid w:val="38425B69"/>
    <w:rsid w:val="3AEC3BBC"/>
    <w:rsid w:val="429059C3"/>
    <w:rsid w:val="4C1E1D8C"/>
    <w:rsid w:val="4F606858"/>
    <w:rsid w:val="508C7D97"/>
    <w:rsid w:val="59D93974"/>
    <w:rsid w:val="5A0D4148"/>
    <w:rsid w:val="5CC62CFC"/>
    <w:rsid w:val="609157B0"/>
    <w:rsid w:val="6CF96100"/>
    <w:rsid w:val="6E2654FB"/>
    <w:rsid w:val="6F997223"/>
    <w:rsid w:val="7F1C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rPr>
      <w:sz w:val="2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character" w:styleId="11">
    <w:name w:val="Strong"/>
    <w:basedOn w:val="10"/>
    <w:qFormat/>
    <w:uiPriority w:val="22"/>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1021</Words>
  <Characters>1044</Characters>
  <Lines>2</Lines>
  <Paragraphs>1</Paragraphs>
  <TotalTime>0</TotalTime>
  <ScaleCrop>false</ScaleCrop>
  <LinksUpToDate>false</LinksUpToDate>
  <CharactersWithSpaces>1049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2020-09-30T06:44:00Z</dcterms:created>
  <dc:creator>hk</dc:creator>
  <cp:lastModifiedBy>风起云涌</cp:lastModifiedBy>
  <dcterms:modified xsi:type="dcterms:W3CDTF">2024-09-09T03:55:07Z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55E1A410980C40B28D88F0FAB6591DB9_13</vt:lpwstr>
  </property>
  <property fmtid="{D5CDD505-2E9C-101B-9397-08002B2CF9AE}" pid="4" name="KSOSaveFontToCloudKey">
    <vt:lpwstr>597874250_embed</vt:lpwstr>
  </property>
</Properties>
</file>